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E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SimSun" w:hAnsi="SimSun" w:eastAsia="SimSun" w:cs="SimSu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SimSun" w:hAnsi="SimSun" w:eastAsia="SimSun" w:cs="SimSun"/>
          <w:b/>
          <w:bCs/>
          <w:sz w:val="24"/>
          <w:szCs w:val="24"/>
          <w:lang w:val="en-US" w:eastAsia="zh-CN"/>
        </w:rPr>
        <w:t>附件</w:t>
      </w:r>
    </w:p>
    <w:p w14:paraId="00FA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28"/>
          <w:szCs w:val="28"/>
        </w:rPr>
        <w:t>贵州省博物馆防雷装置检测采购项目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  <w:t>需求</w:t>
      </w:r>
    </w:p>
    <w:bookmarkEnd w:id="0"/>
    <w:p w14:paraId="50B8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SimSun" w:hAnsi="SimSun" w:eastAsia="SimSun" w:cs="SimSun"/>
          <w:b/>
          <w:bCs/>
          <w:sz w:val="28"/>
          <w:szCs w:val="28"/>
          <w:lang w:val="en-US" w:eastAsia="zh-CN"/>
        </w:rPr>
      </w:pPr>
    </w:p>
    <w:p w14:paraId="4AB1D17D">
      <w:pPr>
        <w:numPr>
          <w:ilvl w:val="0"/>
          <w:numId w:val="0"/>
        </w:numPr>
        <w:jc w:val="left"/>
        <w:rPr>
          <w:rFonts w:hint="eastAsia" w:ascii="SimHei" w:hAnsi="SimHei" w:eastAsia="SimHei" w:cs="SimHei"/>
          <w:sz w:val="32"/>
          <w:szCs w:val="32"/>
          <w:highlight w:val="none"/>
        </w:rPr>
      </w:pPr>
      <w:r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SimHei" w:hAnsi="SimHei" w:eastAsia="SimHei" w:cs="SimHei"/>
          <w:sz w:val="32"/>
          <w:szCs w:val="32"/>
          <w:highlight w:val="none"/>
        </w:rPr>
        <w:t>项目名称</w:t>
      </w:r>
    </w:p>
    <w:p w14:paraId="09E74921">
      <w:pPr>
        <w:numPr>
          <w:ilvl w:val="0"/>
          <w:numId w:val="0"/>
        </w:numPr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highlight w:val="none"/>
          <w:lang w:val="en-US" w:eastAsia="zh-CN" w:bidi="he-IL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highlight w:val="none"/>
          <w:lang w:val="en-US" w:eastAsia="zh-CN" w:bidi="he-IL"/>
        </w:rPr>
        <w:t>贵州省博物馆防雷装置检测</w:t>
      </w:r>
    </w:p>
    <w:p w14:paraId="69A8FF7E">
      <w:pPr>
        <w:numPr>
          <w:ilvl w:val="0"/>
          <w:numId w:val="0"/>
        </w:numPr>
        <w:jc w:val="left"/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  <w:t>二、维保内容</w:t>
      </w:r>
    </w:p>
    <w:p w14:paraId="54BA9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、按照国家有关防雷装置检测规范的要求，对贵州省博物馆馆区建筑物、设备的防雷装置进行检测，包括但不限于屋面避雷带、网、针检测；突出屋面的金属构件、设备等检测；金属幕墙检测；电梯及扶梯检测；消防控制室、安防控制室检测；低压配电箱（柜）、消防系统、供水系统等设备检测；配电柜（箱）电涌保护器检测；信息机房的检测；强弱电电井检测。</w:t>
      </w:r>
    </w:p>
    <w:p w14:paraId="135E9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2、检测点位数量如下：</w:t>
      </w:r>
    </w:p>
    <w:p w14:paraId="77BD2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（1）屋面避雷带、网、针及突出屋面的金属构件、设备等检测约为300个检测点；</w:t>
      </w:r>
    </w:p>
    <w:p w14:paraId="527DC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（2）金属幕墙检测约为450个检测点；</w:t>
      </w:r>
    </w:p>
    <w:p w14:paraId="13972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（3）电梯及扶梯检测约为50个检测点；</w:t>
      </w:r>
    </w:p>
    <w:p w14:paraId="141F9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（4）消防控制室、安防控制室检测约为65个测试点；</w:t>
      </w:r>
    </w:p>
    <w:p w14:paraId="166D9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（5）低压配电箱（柜）、消防系统、供水系统等设备检测约为110个检测点；</w:t>
      </w:r>
    </w:p>
    <w:p w14:paraId="1E6A8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（6）配电柜（箱）电涌保护器检测约为25个检测点；</w:t>
      </w:r>
    </w:p>
    <w:p w14:paraId="43A08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（7）信息机房的检测约为60个检测点；</w:t>
      </w:r>
    </w:p>
    <w:p w14:paraId="349FB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（8）强弱电电井检测约为20个检测点：</w:t>
      </w:r>
    </w:p>
    <w:p w14:paraId="0A015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合计：1080个检测点。</w:t>
      </w:r>
    </w:p>
    <w:p w14:paraId="21180203">
      <w:pPr>
        <w:numPr>
          <w:ilvl w:val="0"/>
          <w:numId w:val="0"/>
        </w:numPr>
        <w:jc w:val="left"/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highlight w:val="none"/>
          <w:lang w:val="en-US" w:eastAsia="zh-CN"/>
        </w:rPr>
        <w:t>三、服务要求</w:t>
      </w:r>
    </w:p>
    <w:p w14:paraId="70C198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kern w:val="2"/>
          <w:sz w:val="32"/>
          <w:szCs w:val="32"/>
          <w:lang w:val="en-US" w:eastAsia="zh-CN" w:bidi="ar-SA"/>
        </w:rPr>
        <w:t>（一）基本要求</w:t>
      </w:r>
    </w:p>
    <w:p w14:paraId="158FC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1、保证防雷设备正常率达100%；</w:t>
      </w:r>
    </w:p>
    <w:p w14:paraId="0507CD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出具具备法律效力的检测报告，严格按照防雷技术规范和标准进行检测，出具完整的检测报告，注明检测结果、存在的隐患及需要整改的项目；</w:t>
      </w:r>
    </w:p>
    <w:p w14:paraId="29FC6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供应商承诺检测完成后如发现本项目存在隐患，应提供技术支持配合甲方完成整改，直至合格；</w:t>
      </w:r>
    </w:p>
    <w:p w14:paraId="11B1A0E5"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1"/>
        <w:rPr>
          <w:rFonts w:hint="eastAsia" w:ascii="FangSong_GB2312" w:hAnsi="FangSong_GB2312" w:eastAsia="FangSong_GB2312" w:cs="FangSong_GB2312"/>
          <w:b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lang w:val="en-US" w:eastAsia="zh-CN"/>
        </w:rPr>
        <w:t>二</w:t>
      </w: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）资质要求</w:t>
      </w:r>
    </w:p>
    <w:p w14:paraId="334583C8"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1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1、供应商具备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国家相关部门发放的雷电防护检测资质（甲级）。</w:t>
      </w:r>
    </w:p>
    <w:p w14:paraId="74E47FF1"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拟派项目技术负责人应具有雷电防护检测相关专业的资格证。</w:t>
      </w:r>
    </w:p>
    <w:p w14:paraId="57D5847F"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供应商应至少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有2位具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有国家安全生产监督管理总局监制发放（与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雷电防护检测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相关专业）的中华人民共和国特种作业操作证的专业技术员，并提供证书及在本公司的近3个月社保证明。</w:t>
      </w:r>
    </w:p>
    <w:p w14:paraId="715AE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030CD"/>
    <w:multiLevelType w:val="singleLevel"/>
    <w:tmpl w:val="38B030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68C8"/>
    <w:rsid w:val="754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2026-01-05T07:48:00Z</dcterms:created>
  <dc:creator>smile</dc:creator>
  <cp:lastModifiedBy>smile</cp:lastModifiedBy>
  <dcterms:modified xsi:type="dcterms:W3CDTF">2026-01-05T07:49:46Z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9348A046F7B9430B856D321313E1B8AA_11</vt:lpwstr>
  </property>
  <property fmtid="{D5CDD505-2E9C-101B-9397-08002B2CF9AE}" pid="4" name="KSOTemplateDocerSaveRecord">
    <vt:lpwstr>eyJoZGlkIjoiOGZhZDBjMTJkMWM2MzZkYTZjNDY1MDA2YWE3MjJiNjUiLCJ1c2VySWQiOiI0MjQzNDIxOTUifQ==</vt:lpwstr>
  </property>
</Properties>
</file>